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ПОРЯДОК ПОЛУЧЕНИЯ ТОВАРА</w:t>
        <w:br w:type="textWrapping"/>
        <w:t xml:space="preserve">ООО «ПолеТорг»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Общие положения</w:t>
        <w:br w:type="textWrapping"/>
        <w:t xml:space="preserve">1.1. Настоящий документ определяет порядок получения товара, приобретенного на сайте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https://poletorg.ru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1.2. Передача товара осуществляется только при соблюдении требований настоящего документа.</w:t>
        <w:br w:type="textWrapping"/>
        <w:t xml:space="preserve">1.3. Продавец вправе отказать в передаче товара при отсутствии необходимых документов.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Получение товара юридическими лицами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При получении товара генеральным директором:</w:t>
        <w:br w:type="textWrapping"/>
        <w:t xml:space="preserve">— паспорт гражданина РФ (оригинал)</w:t>
        <w:br w:type="textWrapping"/>
        <w:t xml:space="preserve">— печать организации (при наличии)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 При получении товара представителем:</w:t>
        <w:br w:type="textWrapping"/>
        <w:t xml:space="preserve">— доверенность по форме М2 или М2А, подписанная и заверенная печатью организации</w:t>
        <w:br w:type="textWrapping"/>
        <w:t xml:space="preserve">— паспорт представителя (оригинал)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2.3. В доверенности должны быть указаны:</w:t>
        <w:br w:type="textWrapping"/>
        <w:t xml:space="preserve">— реквизиты организации</w:t>
        <w:br w:type="textWrapping"/>
        <w:t xml:space="preserve">— ФИО представителя</w:t>
        <w:br w:type="textWrapping"/>
        <w:t xml:space="preserve">— полномочия на получение товара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Получение товара индивидуальными предпринимателями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При получении товара лично:</w:t>
        <w:br w:type="textWrapping"/>
        <w:t xml:space="preserve">— паспорт гражданина РФ (оригинал)</w:t>
        <w:br w:type="textWrapping"/>
        <w:t xml:space="preserve">— печать (при наличии)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При получении товара представителем:</w:t>
        <w:br w:type="textWrapping"/>
        <w:t xml:space="preserve">— доверенность от ИП</w:t>
        <w:br w:type="textWrapping"/>
        <w:t xml:space="preserve">— копия паспорта доверителя</w:t>
        <w:br w:type="textWrapping"/>
        <w:t xml:space="preserve">— паспорт представителя (оригинал)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Получение товара физическими лицами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При получении товара лично:</w:t>
        <w:br w:type="textWrapping"/>
        <w:t xml:space="preserve">— паспорт гражданина РФ (оригинал)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4.2. При получении товара представителем:</w:t>
        <w:br w:type="textWrapping"/>
        <w:t xml:space="preserve">— доверенность от физического лица</w:t>
        <w:br w:type="textWrapping"/>
        <w:t xml:space="preserve">— копия паспорта доверителя</w:t>
        <w:br w:type="textWrapping"/>
        <w:t xml:space="preserve">— паспорт представителя (оригинал)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Общие требования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Все документы должны быть оформлены надлежащим образом.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Продавец вправе:</w:t>
        <w:br w:type="textWrapping"/>
        <w:t xml:space="preserve">— отказать в выдаче товара при отсутствии документов</w:t>
        <w:br w:type="textWrapping"/>
        <w:t xml:space="preserve">— отказать при наличии сомнений в подлинности документов</w:t>
        <w:br w:type="textWrapping"/>
        <w:t xml:space="preserve">— потребовать дополнительные подтверждения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5.3. Передача товара третьим лицам без подтверждения полномочий не осуществляется.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5.4. Подписание товаросопроводительных документов подтверждает:</w:t>
        <w:br w:type="textWrapping"/>
        <w:t xml:space="preserve">— факт получения товара</w:t>
        <w:br w:type="textWrapping"/>
        <w:t xml:space="preserve">— отсутствие претензий по количеству и внешнему виду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Ответственность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Продавец не несет ответственности за передачу товара лицу, предъявившему надлежащим образом оформленные документы.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Риск неправомерного использования доверенности несет Покупатель.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7.1. Настоящий порядок обязателен для всех покупателей.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7.2. Актуальная версия размещается по адресу:</w:t>
        <w:br w:type="textWrapping"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https://poletorg.ru/pickup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7.3. Оформление заказа означает согласие с настоящими условиями.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oletorg.ru/" TargetMode="External"/><Relationship Id="rId7" Type="http://schemas.openxmlformats.org/officeDocument/2006/relationships/hyperlink" Target="https://poletorg.ru/" TargetMode="External"/><Relationship Id="rId8" Type="http://schemas.openxmlformats.org/officeDocument/2006/relationships/hyperlink" Target="https://poletorg.ru/pic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